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w:t>
      </w:r>
      <w:bookmarkStart w:colFirst="0" w:colLast="0" w:name="bookmark=id.gjdgxs" w:id="0"/>
      <w:bookmarkEnd w:id="0"/>
      <w:r w:rsidDel="00000000" w:rsidR="00000000" w:rsidRPr="00000000">
        <w:rPr>
          <w:rFonts w:ascii="Arial" w:cs="Arial" w:eastAsia="Arial" w:hAnsi="Arial"/>
          <w:b w:val="1"/>
          <w:sz w:val="36"/>
          <w:szCs w:val="36"/>
          <w:rtl w:val="0"/>
        </w:rPr>
        <w:t xml:space="preserve">26 (Sustainability)</w:t>
      </w:r>
    </w:p>
    <w:p w:rsidR="00000000" w:rsidDel="00000000" w:rsidP="00000000" w:rsidRDefault="00000000" w:rsidRPr="00000000" w14:paraId="00000002">
      <w:pPr>
        <w:keepNext w:val="1"/>
        <w:numPr>
          <w:ilvl w:val="0"/>
          <w:numId w:val="2"/>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[“Modern Slavery Assessment Tool”</w:t>
            </w:r>
          </w:p>
        </w:tc>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the modern slavery risk identification and management tool which can be found online at: </w:t>
            </w:r>
            <w:hyperlink r:id="rId7">
              <w:r w:rsidDel="00000000" w:rsidR="00000000" w:rsidRPr="00000000">
                <w:rPr>
                  <w:color w:val="0563c1"/>
                  <w:sz w:val="24"/>
                  <w:szCs w:val="24"/>
                  <w:u w:val="single"/>
                  <w:rtl w:val="0"/>
                </w:rPr>
                <w:t xml:space="preserve">https://supplierregistration.cabinetoffice.gov.uk/msat</w:t>
              </w:r>
            </w:hyperlink>
            <w:r w:rsidDel="00000000" w:rsidR="00000000" w:rsidRPr="00000000">
              <w:rPr>
                <w:sz w:val="24"/>
                <w:szCs w:val="24"/>
                <w:rtl w:val="0"/>
              </w:rPr>
              <w:t xml:space="preserve">] </w:t>
            </w:r>
          </w:p>
        </w:tc>
      </w:tr>
      <w:tr>
        <w:trPr>
          <w:cantSplit w:val="0"/>
          <w:trHeight w:val="3672.6953124999995" w:hRule="atLeast"/>
          <w:tblHeader w:val="0"/>
        </w:trPr>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D">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E">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heading=h.30j0zll" w:id="1"/>
            <w:bookmarkEnd w:id="1"/>
            <w:r w:rsidDel="00000000" w:rsidR="00000000" w:rsidRPr="00000000">
              <w:rPr>
                <w:sz w:val="24"/>
                <w:szCs w:val="24"/>
                <w:rtl w:val="0"/>
              </w:rPr>
              <w:t xml:space="preserve">Recycling;</w:t>
            </w:r>
          </w:p>
          <w:p w:rsidR="00000000" w:rsidDel="00000000" w:rsidP="00000000" w:rsidRDefault="00000000" w:rsidRPr="00000000" w14:paraId="0000000F">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0">
            <w:pPr>
              <w:numPr>
                <w:ilvl w:val="0"/>
                <w:numId w:val="8"/>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0j0zll"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2">
      <w:pPr>
        <w:keepNext w:val="1"/>
        <w:numPr>
          <w:ilvl w:val="0"/>
          <w:numId w:val="7"/>
        </w:numPr>
        <w:spacing w:after="240" w:before="120" w:line="240" w:lineRule="auto"/>
        <w:ind w:left="360" w:hanging="360"/>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3">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4">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5">
      <w:pPr>
        <w:keepNext w:val="1"/>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6">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7">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8">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9">
      <w:pPr>
        <w:keepNext w:val="1"/>
        <w:numPr>
          <w:ilvl w:val="0"/>
          <w:numId w:val="7"/>
        </w:numPr>
        <w:spacing w:after="240" w:before="120" w:line="240" w:lineRule="auto"/>
        <w:ind w:left="360" w:hanging="36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A">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B">
      <w:pPr>
        <w:keepNext w:val="1"/>
        <w:numPr>
          <w:ilvl w:val="0"/>
          <w:numId w:val="7"/>
        </w:numPr>
        <w:spacing w:after="240" w:before="120" w:line="240" w:lineRule="auto"/>
        <w:ind w:left="360" w:hanging="36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C">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D">
      <w:pPr>
        <w:numPr>
          <w:ilvl w:val="2"/>
          <w:numId w:val="7"/>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E">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1F">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0">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1">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p>
    <w:p w:rsidR="00000000" w:rsidDel="00000000" w:rsidP="00000000" w:rsidRDefault="00000000" w:rsidRPr="00000000" w14:paraId="00000022">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3">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4">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5">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6">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7">
      <w:pPr>
        <w:numPr>
          <w:ilvl w:val="2"/>
          <w:numId w:val="7"/>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8">
      <w:pPr>
        <w:numPr>
          <w:ilvl w:val="2"/>
          <w:numId w:val="7"/>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9">
      <w:pPr>
        <w:numPr>
          <w:ilvl w:val="4"/>
          <w:numId w:val="5"/>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A">
      <w:pPr>
        <w:numPr>
          <w:ilvl w:val="4"/>
          <w:numId w:val="5"/>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B">
      <w:pPr>
        <w:numPr>
          <w:ilvl w:val="2"/>
          <w:numId w:val="7"/>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C">
      <w:pPr>
        <w:keepNext w:val="1"/>
        <w:numPr>
          <w:ilvl w:val="1"/>
          <w:numId w:val="7"/>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D">
      <w:pPr>
        <w:keepNext w:val="1"/>
        <w:numPr>
          <w:ilvl w:val="1"/>
          <w:numId w:val="7"/>
        </w:numPr>
        <w:tabs>
          <w:tab w:val="left" w:leader="none" w:pos="1134"/>
        </w:tabs>
        <w:spacing w:after="120" w:before="120" w:line="240" w:lineRule="auto"/>
        <w:ind w:left="907" w:hanging="547"/>
        <w:rPr>
          <w:rFonts w:ascii="Arial" w:cs="Arial" w:eastAsia="Arial" w:hAnsi="Arial"/>
        </w:rPr>
      </w:pPr>
      <w:bookmarkStart w:colFirst="0" w:colLast="0" w:name="_heading=h.2ijv8qh" w:id="9"/>
      <w:bookmarkEnd w:id="9"/>
      <w:r w:rsidDel="00000000" w:rsidR="00000000" w:rsidRPr="00000000">
        <w:rPr>
          <w:rFonts w:ascii="Arial" w:cs="Arial" w:eastAsia="Arial" w:hAnsi="Arial"/>
          <w:sz w:val="24"/>
          <w:szCs w:val="24"/>
          <w:rtl w:val="0"/>
        </w:rPr>
        <w:t xml:space="preserve">If the Supplier is in Default under Paragraph 3.1 of this Part A of Schedule 26 the Buyer may by notice:</w:t>
      </w:r>
      <w:r w:rsidDel="00000000" w:rsidR="00000000" w:rsidRPr="00000000">
        <w:rPr>
          <w:rtl w:val="0"/>
        </w:rPr>
      </w:r>
    </w:p>
    <w:p w:rsidR="00000000" w:rsidDel="00000000" w:rsidP="00000000" w:rsidRDefault="00000000" w:rsidRPr="00000000" w14:paraId="0000002E">
      <w:pPr>
        <w:numPr>
          <w:ilvl w:val="2"/>
          <w:numId w:val="7"/>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F">
      <w:pPr>
        <w:numPr>
          <w:ilvl w:val="2"/>
          <w:numId w:val="7"/>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0">
      <w:pPr>
        <w:keepNext w:val="1"/>
        <w:numPr>
          <w:ilvl w:val="0"/>
          <w:numId w:val="7"/>
        </w:numPr>
        <w:spacing w:after="240" w:before="120" w:line="240" w:lineRule="auto"/>
        <w:ind w:left="360" w:hanging="360"/>
        <w:rPr>
          <w:rFonts w:ascii="Arial" w:cs="Arial" w:eastAsia="Arial" w:hAnsi="Arial"/>
          <w:b w:val="1"/>
          <w:sz w:val="24"/>
          <w:szCs w:val="24"/>
        </w:rPr>
      </w:pPr>
      <w:bookmarkStart w:colFirst="0" w:colLast="0" w:name="_heading=h.tyjcwt"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1">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2">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3">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4">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5">
      <w:pPr>
        <w:numPr>
          <w:ilvl w:val="2"/>
          <w:numId w:val="7"/>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6">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7">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8">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9">
      <w:pPr>
        <w:keepNext w:val="1"/>
        <w:spacing w:after="240" w:before="120" w:line="240" w:lineRule="auto"/>
        <w:ind w:left="907" w:firstLine="0"/>
        <w:rPr>
          <w:rFonts w:ascii="Arial" w:cs="Arial" w:eastAsia="Arial" w:hAnsi="Arial"/>
          <w:i w:val="1"/>
          <w:color w:val="0563c1"/>
          <w:sz w:val="24"/>
          <w:szCs w:val="24"/>
          <w:u w:val="single"/>
        </w:rPr>
      </w:pPr>
      <w:hyperlink r:id="rId8">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A">
      <w:pPr>
        <w:keepNext w:val="1"/>
        <w:numPr>
          <w:ilvl w:val="0"/>
          <w:numId w:val="7"/>
        </w:numPr>
        <w:spacing w:after="240" w:before="120" w:line="240" w:lineRule="auto"/>
        <w:ind w:left="360" w:hanging="360"/>
        <w:rPr>
          <w:rFonts w:ascii="Arial" w:cs="Arial" w:eastAsia="Arial" w:hAnsi="Arial"/>
          <w:b w:val="1"/>
          <w:sz w:val="24"/>
          <w:szCs w:val="24"/>
        </w:rPr>
      </w:pPr>
      <w:bookmarkStart w:colFirst="0" w:colLast="0" w:name="_heading=h.3dy6vkm"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B">
      <w:pPr>
        <w:keepNext w:val="1"/>
        <w:numPr>
          <w:ilvl w:val="1"/>
          <w:numId w:val="7"/>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C">
      <w:pPr>
        <w:spacing w:after="120" w:before="120" w:line="240" w:lineRule="auto"/>
        <w:ind w:left="936" w:firstLine="0"/>
        <w:rPr>
          <w:rFonts w:ascii="Arial" w:cs="Arial" w:eastAsia="Arial" w:hAnsi="Arial"/>
          <w:sz w:val="24"/>
          <w:szCs w:val="24"/>
        </w:rPr>
      </w:pPr>
      <w:hyperlink r:id="rId9">
        <w:r w:rsidDel="00000000" w:rsidR="00000000" w:rsidRPr="00000000">
          <w:rPr>
            <w:rFonts w:ascii="Arial" w:cs="Arial" w:eastAsia="Arial" w:hAnsi="Arial"/>
            <w:sz w:val="24"/>
            <w:szCs w:val="24"/>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E">
      <w:pPr>
        <w:keepNext w:val="1"/>
        <w:keepLines w:val="1"/>
        <w:numPr>
          <w:ilvl w:val="0"/>
          <w:numId w:val="7"/>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3F">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0">
      <w:pPr>
        <w:keepNext w:val="1"/>
        <w:spacing w:after="240" w:before="120" w:line="240" w:lineRule="auto"/>
        <w:ind w:left="360" w:hanging="360"/>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rdcrjn" w:id="12"/>
      <w:bookmarkEnd w:id="12"/>
      <w:r w:rsidDel="00000000" w:rsidR="00000000" w:rsidRPr="00000000">
        <w:rPr>
          <w:rFonts w:ascii="Arial" w:cs="Arial" w:eastAsia="Arial" w:hAnsi="Arial"/>
          <w:b w:val="1"/>
          <w:sz w:val="28"/>
          <w:szCs w:val="28"/>
          <w:rtl w:val="0"/>
        </w:rPr>
        <w:t xml:space="preserve">B</w:t>
      </w:r>
      <w:r w:rsidDel="00000000" w:rsidR="00000000" w:rsidRPr="00000000">
        <w:rPr>
          <w:rFonts w:ascii="Arial" w:cs="Arial" w:eastAsia="Arial" w:hAnsi="Arial"/>
          <w:b w:val="1"/>
          <w:sz w:val="28"/>
          <w:szCs w:val="28"/>
          <w:rtl w:val="0"/>
        </w:rPr>
        <w:t xml:space="preserve"> </w:t>
      </w:r>
    </w:p>
    <w:p w:rsidR="00000000" w:rsidDel="00000000" w:rsidP="00000000" w:rsidRDefault="00000000" w:rsidRPr="00000000" w14:paraId="00000041">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26in1rg" w:id="13"/>
      <w:bookmarkEnd w:id="13"/>
      <w:r w:rsidDel="00000000" w:rsidR="00000000" w:rsidRPr="00000000">
        <w:rPr>
          <w:rFonts w:ascii="Arial" w:cs="Arial" w:eastAsia="Arial" w:hAnsi="Arial"/>
          <w:b w:val="1"/>
          <w:sz w:val="24"/>
          <w:szCs w:val="24"/>
          <w:rtl w:val="0"/>
        </w:rPr>
        <w:t xml:space="preserve">Equality, Diversity and Inclusion – Further Requirements</w:t>
      </w:r>
    </w:p>
    <w:p w:rsidR="00000000" w:rsidDel="00000000" w:rsidP="00000000" w:rsidRDefault="00000000" w:rsidRPr="00000000" w14:paraId="00000042">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delivering the Deliverables, the Supplier will comply with the Buyer’s equality, diversity and inclusion requirements, to be provided to the Supplier by the Buyer.</w:t>
      </w:r>
    </w:p>
    <w:p w:rsidR="00000000" w:rsidDel="00000000" w:rsidP="00000000" w:rsidRDefault="00000000" w:rsidRPr="00000000" w14:paraId="0000004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fulfils its obligations under this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044">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lnxbz9" w:id="14"/>
      <w:bookmarkEnd w:id="14"/>
      <w:r w:rsidDel="00000000" w:rsidR="00000000" w:rsidRPr="00000000">
        <w:rPr>
          <w:rFonts w:ascii="Arial" w:cs="Arial" w:eastAsia="Arial" w:hAnsi="Arial"/>
          <w:b w:val="1"/>
          <w:sz w:val="24"/>
          <w:szCs w:val="24"/>
          <w:rtl w:val="0"/>
        </w:rPr>
        <w:t xml:space="preserve">Environmental – Further Requirements</w:t>
      </w:r>
    </w:p>
    <w:p w:rsidR="00000000" w:rsidDel="00000000" w:rsidP="00000000" w:rsidRDefault="00000000" w:rsidRPr="00000000" w14:paraId="00000045">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Deliverables are designed, sourced and delivered in a manner which is environmentally and socially responsible.</w:t>
      </w:r>
    </w:p>
    <w:p w:rsidR="00000000" w:rsidDel="00000000" w:rsidP="00000000" w:rsidRDefault="00000000" w:rsidRPr="00000000" w14:paraId="00000046">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delivering the Deliverables, the Supplier must comply with the Buyer’s sustainability requirements, to be provided to the Supplier by the Buyer.</w:t>
      </w:r>
    </w:p>
    <w:p w:rsidR="00000000" w:rsidDel="00000000" w:rsidP="00000000" w:rsidRDefault="00000000" w:rsidRPr="00000000" w14:paraId="00000047">
      <w:pPr>
        <w:keepNext w:val="1"/>
        <w:numPr>
          <w:ilvl w:val="0"/>
          <w:numId w:val="6"/>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Modern Slavery– Further Requirements</w:t>
      </w:r>
    </w:p>
    <w:p w:rsidR="00000000" w:rsidDel="00000000" w:rsidP="00000000" w:rsidRDefault="00000000" w:rsidRPr="00000000" w14:paraId="00000048">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bookmarkStart w:colFirst="0" w:colLast="0" w:name="_heading=h.35nkun2" w:id="15"/>
      <w:bookmarkEnd w:id="15"/>
      <w:r w:rsidDel="00000000" w:rsidR="00000000" w:rsidRPr="00000000">
        <w:rPr>
          <w:rFonts w:ascii="Arial" w:cs="Arial" w:eastAsia="Arial" w:hAnsi="Arial"/>
          <w:sz w:val="24"/>
          <w:szCs w:val="24"/>
          <w:rtl w:val="0"/>
        </w:rPr>
        <w:t xml:space="preserve">The Supplier shall comply with any request by the Buyer to complete the Modern Slavery Assessment Tool within sixty (60) days of such request.</w:t>
      </w:r>
      <w:r w:rsidDel="00000000" w:rsidR="00000000" w:rsidRPr="00000000">
        <w:rPr>
          <w:rtl w:val="0"/>
        </w:rPr>
      </w:r>
    </w:p>
    <w:p w:rsidR="00000000" w:rsidDel="00000000" w:rsidP="00000000" w:rsidRDefault="00000000" w:rsidRPr="00000000" w14:paraId="00000049">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following shall be added to the definition of “Audit” in Schedule 1 immediately after limb (k):</w:t>
      </w:r>
      <w:r w:rsidDel="00000000" w:rsidR="00000000" w:rsidRPr="00000000">
        <w:rPr>
          <w:rtl w:val="0"/>
        </w:rPr>
      </w:r>
    </w:p>
    <w:p w:rsidR="00000000" w:rsidDel="00000000" w:rsidP="00000000" w:rsidRDefault="00000000" w:rsidRPr="00000000" w14:paraId="0000004A">
      <w:pPr>
        <w:spacing w:after="24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 carry out an unannounced or semi-announced inspection of any Site and speak directly to any Supplier Staff in a confidential manner and in the native language of such Supplier Staff in respect of workforce conditions, working or employment practices and recruitment practices;”</w:t>
      </w:r>
    </w:p>
    <w:p w:rsidR="00000000" w:rsidDel="00000000" w:rsidP="00000000" w:rsidRDefault="00000000" w:rsidRPr="00000000" w14:paraId="0000004B">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bookmarkStart w:colFirst="0" w:colLast="0" w:name="_heading=h.1ksv4uv" w:id="16"/>
      <w:bookmarkEnd w:id="16"/>
      <w:r w:rsidDel="00000000" w:rsidR="00000000" w:rsidRPr="00000000">
        <w:rPr>
          <w:rFonts w:ascii="Arial" w:cs="Arial" w:eastAsia="Arial" w:hAnsi="Arial"/>
          <w:sz w:val="24"/>
          <w:szCs w:val="24"/>
          <w:rtl w:val="0"/>
        </w:rPr>
        <w:t xml:space="preserve">For the purposes of an audit carried out pursuant to limb (l) of the definition of “Audit”, in addition to any other rights under this Contract, the Buyer may instruct the Supplier to carry out such an audit of any Subcontractor by an independent third party and, if so instructed, the Supplier shall deliver a report to the Buyer within ninety (90) days of such instruction.</w:t>
      </w:r>
      <w:r w:rsidDel="00000000" w:rsidR="00000000" w:rsidRPr="00000000">
        <w:rPr>
          <w:rtl w:val="0"/>
        </w:rPr>
      </w:r>
    </w:p>
    <w:p w:rsidR="00000000" w:rsidDel="00000000" w:rsidP="00000000" w:rsidRDefault="00000000" w:rsidRPr="00000000" w14:paraId="0000004C">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Supplier shall comply with any request by the Buyer to provide a Supply Chain Map within fourteen (14) days of such request.</w:t>
      </w:r>
      <w:r w:rsidDel="00000000" w:rsidR="00000000" w:rsidRPr="00000000">
        <w:rPr>
          <w:rtl w:val="0"/>
        </w:rPr>
      </w:r>
    </w:p>
    <w:p w:rsidR="00000000" w:rsidDel="00000000" w:rsidP="00000000" w:rsidRDefault="00000000" w:rsidRPr="00000000" w14:paraId="0000004D">
      <w:pPr>
        <w:keepNext w:val="1"/>
        <w:numPr>
          <w:ilvl w:val="1"/>
          <w:numId w:val="6"/>
        </w:numPr>
        <w:tabs>
          <w:tab w:val="left" w:leader="none" w:pos="1134"/>
        </w:tabs>
        <w:spacing w:after="120" w:before="120" w:line="240" w:lineRule="auto"/>
        <w:ind w:left="907" w:hanging="547"/>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Supplier shall comply with any request by the Buyer to provide a copy of any reports of any Subcontractor regarding any or all of workplace conditions, working or employment practices and recruitment practices within fourteen (14) days of such request.</w:t>
      </w:r>
      <w:r w:rsidDel="00000000" w:rsidR="00000000" w:rsidRPr="00000000">
        <w:rPr>
          <w:rtl w:val="0"/>
        </w:rPr>
      </w:r>
    </w:p>
    <w:p w:rsidR="00000000" w:rsidDel="00000000" w:rsidP="00000000" w:rsidRDefault="00000000" w:rsidRPr="00000000" w14:paraId="0000004E">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carry out due diligence to ensure workers in its business and its supply chains are not paying illegal or exploitative recruitment fees to secure employment, and where these fees are uncovered shall ensure that workers are remedied.</w:t>
      </w: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bookmarkStart w:colFirst="0" w:colLast="0" w:name="bookmark=id.4d34og8" w:id="17"/>
  <w:bookmarkEnd w:id="17"/>
  <w:p w:rsidR="00000000" w:rsidDel="00000000" w:rsidP="00000000" w:rsidRDefault="00000000" w:rsidRPr="00000000" w14:paraId="0000005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7">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8">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52">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44456"/>
    <w:pPr>
      <w:pBdr>
        <w:top w:space="0" w:sz="0" w:val="nil"/>
        <w:left w:space="0" w:sz="0" w:val="nil"/>
        <w:bottom w:space="0" w:sz="0" w:val="nil"/>
        <w:right w:space="0" w:sz="0" w:val="nil"/>
        <w:between w:space="0" w:sz="0" w:val="nil"/>
      </w:pBdr>
    </w:pPr>
    <w:rPr>
      <w:color w:val="000000"/>
    </w:rPr>
  </w:style>
  <w:style w:type="paragraph" w:styleId="Heading1">
    <w:name w:val="heading 1"/>
    <w:basedOn w:val="Normal"/>
    <w:next w:val="Normal"/>
    <w:link w:val="Heading1Char"/>
    <w:uiPriority w:val="9"/>
    <w:qFormat w:val="1"/>
    <w:rsid w:val="00210A1E"/>
    <w:pPr>
      <w:keepNext w:val="1"/>
      <w:keepLines w:val="1"/>
      <w:pBdr>
        <w:top w:color="auto" w:space="0" w:sz="0" w:val="none"/>
        <w:left w:color="auto" w:space="0" w:sz="0" w:val="none"/>
        <w:bottom w:color="auto" w:space="0" w:sz="0" w:val="none"/>
        <w:right w:color="auto" w:space="0" w:sz="0" w:val="none"/>
        <w:between w:color="auto" w:space="0" w:sz="0" w:val="none"/>
      </w:pBdr>
      <w:spacing w:after="0" w:before="240" w:line="259" w:lineRule="auto"/>
      <w:outlineLvl w:val="0"/>
    </w:pPr>
    <w:rPr>
      <w:rFonts w:asciiTheme="majorHAnsi" w:cstheme="majorBidi" w:eastAsiaTheme="majorEastAsia" w:hAnsiTheme="majorHAnsi"/>
      <w:color w:val="2f5496" w:themeColor="accent1" w:themeShade="0000BF"/>
      <w:sz w:val="32"/>
      <w:szCs w:val="32"/>
      <w:lang w:eastAsia="en-US"/>
    </w:rPr>
  </w:style>
  <w:style w:type="paragraph" w:styleId="Heading2">
    <w:name w:val="heading 2"/>
    <w:basedOn w:val="Normal"/>
    <w:next w:val="Normal"/>
    <w:link w:val="Heading2Char"/>
    <w:uiPriority w:val="9"/>
    <w:semiHidden w:val="1"/>
    <w:unhideWhenUsed w:val="1"/>
    <w:qFormat w:val="1"/>
    <w:rsid w:val="00644456"/>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64445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2Char" w:customStyle="1">
    <w:name w:val="Heading 2 Char"/>
    <w:basedOn w:val="DefaultParagraphFont"/>
    <w:link w:val="Heading2"/>
    <w:rsid w:val="00644456"/>
    <w:rPr>
      <w:rFonts w:ascii="Calibri" w:cs="Calibri" w:eastAsia="Calibri" w:hAnsi="Calibri"/>
      <w:b w:val="1"/>
      <w:color w:val="000000"/>
      <w:sz w:val="36"/>
      <w:szCs w:val="36"/>
      <w:lang w:eastAsia="en-GB"/>
    </w:rPr>
  </w:style>
  <w:style w:type="character" w:styleId="Heading3Char" w:customStyle="1">
    <w:name w:val="Heading 3 Char"/>
    <w:basedOn w:val="DefaultParagraphFont"/>
    <w:link w:val="Heading3"/>
    <w:rsid w:val="00644456"/>
    <w:rPr>
      <w:rFonts w:ascii="Calibri" w:cs="Calibri" w:eastAsia="Calibri" w:hAnsi="Calibri"/>
      <w:b w:val="1"/>
      <w:color w:val="000000"/>
      <w:sz w:val="28"/>
      <w:szCs w:val="28"/>
      <w:lang w:eastAsia="en-GB"/>
    </w:rPr>
  </w:style>
  <w:style w:type="character" w:styleId="Hyperlink">
    <w:name w:val="Hyperlink"/>
    <w:basedOn w:val="DefaultParagraphFont"/>
    <w:uiPriority w:val="99"/>
    <w:unhideWhenUsed w:val="1"/>
    <w:rsid w:val="00644456"/>
    <w:rPr>
      <w:color w:val="0563c1" w:themeColor="hyperlink"/>
      <w:u w:val="single"/>
    </w:rPr>
  </w:style>
  <w:style w:type="character" w:styleId="CommentReference">
    <w:name w:val="annotation reference"/>
    <w:basedOn w:val="DefaultParagraphFont"/>
    <w:uiPriority w:val="99"/>
    <w:unhideWhenUsed w:val="1"/>
    <w:rsid w:val="00644456"/>
    <w:rPr>
      <w:sz w:val="16"/>
      <w:szCs w:val="16"/>
    </w:rPr>
  </w:style>
  <w:style w:type="paragraph" w:styleId="CommentText">
    <w:name w:val="annotation text"/>
    <w:basedOn w:val="Normal"/>
    <w:link w:val="CommentTextChar"/>
    <w:uiPriority w:val="99"/>
    <w:unhideWhenUsed w:val="1"/>
    <w:rsid w:val="00644456"/>
    <w:pPr>
      <w:spacing w:line="240" w:lineRule="auto"/>
    </w:pPr>
    <w:rPr>
      <w:sz w:val="20"/>
      <w:szCs w:val="20"/>
    </w:rPr>
  </w:style>
  <w:style w:type="character" w:styleId="CommentTextChar" w:customStyle="1">
    <w:name w:val="Comment Text Char"/>
    <w:basedOn w:val="DefaultParagraphFont"/>
    <w:link w:val="CommentText"/>
    <w:uiPriority w:val="99"/>
    <w:rsid w:val="00644456"/>
    <w:rPr>
      <w:rFonts w:ascii="Calibri" w:cs="Calibri" w:eastAsia="Calibri" w:hAnsi="Calibri"/>
      <w:color w:val="000000"/>
      <w:sz w:val="20"/>
      <w:szCs w:val="20"/>
      <w:lang w:eastAsia="en-GB"/>
    </w:rPr>
  </w:style>
  <w:style w:type="paragraph" w:styleId="Footer">
    <w:name w:val="footer"/>
    <w:basedOn w:val="Normal"/>
    <w:link w:val="FooterChar"/>
    <w:uiPriority w:val="99"/>
    <w:unhideWhenUsed w:val="1"/>
    <w:rsid w:val="00644456"/>
    <w:pPr>
      <w:pBdr>
        <w:top w:color="auto" w:space="0" w:sz="0" w:val="none"/>
        <w:left w:color="auto" w:space="0" w:sz="0" w:val="none"/>
        <w:bottom w:color="auto" w:space="0" w:sz="0" w:val="none"/>
        <w:right w:color="auto" w:space="0" w:sz="0" w:val="none"/>
        <w:between w:color="auto" w:space="0" w:sz="0" w:val="none"/>
      </w:pBdr>
      <w:tabs>
        <w:tab w:val="center" w:pos="4513"/>
        <w:tab w:val="right" w:pos="9026"/>
      </w:tabs>
      <w:spacing w:after="0" w:line="240" w:lineRule="auto"/>
    </w:pPr>
    <w:rPr>
      <w:rFonts w:asciiTheme="minorHAnsi" w:cstheme="minorBidi" w:eastAsiaTheme="minorHAnsi" w:hAnsiTheme="minorHAnsi"/>
      <w:color w:val="auto"/>
      <w:lang w:eastAsia="en-US"/>
    </w:rPr>
  </w:style>
  <w:style w:type="character" w:styleId="FooterChar" w:customStyle="1">
    <w:name w:val="Footer Char"/>
    <w:basedOn w:val="DefaultParagraphFont"/>
    <w:link w:val="Footer"/>
    <w:uiPriority w:val="99"/>
    <w:rsid w:val="00644456"/>
  </w:style>
  <w:style w:type="paragraph" w:styleId="GPSL1Numbered" w:customStyle="1">
    <w:name w:val="GPS L1 Numbered"/>
    <w:basedOn w:val="Normal"/>
    <w:rsid w:val="00644456"/>
    <w:pPr>
      <w:keepNext w:val="1"/>
      <w:spacing w:after="240" w:before="120" w:line="240" w:lineRule="auto"/>
    </w:pPr>
    <w:rPr>
      <w:rFonts w:asciiTheme="minorBidi" w:hAnsiTheme="minorBidi"/>
      <w:b w:val="1"/>
      <w:sz w:val="24"/>
    </w:rPr>
  </w:style>
  <w:style w:type="paragraph" w:styleId="GPSL2numberedclause" w:customStyle="1">
    <w:name w:val="GPS L2 numbered clause"/>
    <w:basedOn w:val="Normal"/>
    <w:rsid w:val="00644456"/>
    <w:pPr>
      <w:spacing w:after="120" w:before="120" w:line="240" w:lineRule="auto"/>
    </w:pPr>
    <w:rPr>
      <w:rFonts w:asciiTheme="minorBidi" w:hAnsiTheme="minorBidi"/>
      <w:sz w:val="24"/>
    </w:rPr>
  </w:style>
  <w:style w:type="paragraph" w:styleId="GPSL3NUMBERED" w:customStyle="1">
    <w:name w:val="GPS L3 NUMBERED"/>
    <w:basedOn w:val="Normal"/>
    <w:rsid w:val="00644456"/>
    <w:pPr>
      <w:spacing w:after="120" w:before="120" w:line="240" w:lineRule="auto"/>
    </w:pPr>
    <w:rPr>
      <w:rFonts w:asciiTheme="minorBidi" w:hAnsiTheme="minorBidi"/>
      <w:sz w:val="24"/>
    </w:rPr>
  </w:style>
  <w:style w:type="paragraph" w:styleId="GPSL4numbered" w:customStyle="1">
    <w:name w:val="GPS L4 numbered"/>
    <w:basedOn w:val="Normal"/>
    <w:rsid w:val="00644456"/>
    <w:rPr>
      <w:rFonts w:asciiTheme="minorBidi" w:hAnsiTheme="minorBidi"/>
      <w:sz w:val="24"/>
    </w:rPr>
  </w:style>
  <w:style w:type="paragraph" w:styleId="StdBodyText" w:customStyle="1">
    <w:name w:val="Std Body Text"/>
    <w:basedOn w:val="Normal"/>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paragraph" w:styleId="StdBodyTextBold" w:customStyle="1">
    <w:name w:val="Std Body Text Bold"/>
    <w:basedOn w:val="Normal"/>
    <w:next w:val="StdBodyText"/>
    <w:link w:val="StdBodyTextBoldChar"/>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b w:val="1"/>
      <w:color w:val="auto"/>
      <w:sz w:val="24"/>
      <w:szCs w:val="24"/>
    </w:rPr>
  </w:style>
  <w:style w:type="character" w:styleId="StdBodyTextBoldChar" w:customStyle="1">
    <w:name w:val="Std Body Text Bold Char"/>
    <w:basedOn w:val="DefaultParagraphFont"/>
    <w:link w:val="StdBodyTextBold"/>
    <w:rsid w:val="00644456"/>
    <w:rPr>
      <w:rFonts w:ascii="Arial" w:cs="Times New Roman" w:eastAsia="Times New Roman" w:hAnsi="Arial"/>
      <w:b w:val="1"/>
      <w:sz w:val="24"/>
      <w:szCs w:val="24"/>
      <w:lang w:eastAsia="en-GB"/>
    </w:rPr>
  </w:style>
  <w:style w:type="paragraph" w:styleId="DefinitionList" w:customStyle="1">
    <w:name w:val="Definition List"/>
    <w:basedOn w:val="Normal"/>
    <w:rsid w:val="00644456"/>
    <w:pPr>
      <w:numPr>
        <w:numId w:val="2"/>
      </w:num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rsid w:val="00644456"/>
    <w:pPr>
      <w:numPr>
        <w:ilvl w:val="1"/>
      </w:numPr>
    </w:pPr>
  </w:style>
  <w:style w:type="paragraph" w:styleId="DefinitionListLevel2" w:customStyle="1">
    <w:name w:val="Definition List Level 2"/>
    <w:basedOn w:val="DefinitionListLevel1"/>
    <w:rsid w:val="00644456"/>
    <w:pPr>
      <w:numPr>
        <w:ilvl w:val="2"/>
      </w:numPr>
    </w:pPr>
  </w:style>
  <w:style w:type="paragraph" w:styleId="Default" w:customStyle="1">
    <w:name w:val="Default"/>
    <w:rsid w:val="00644456"/>
    <w:pPr>
      <w:autoSpaceDE w:val="0"/>
      <w:autoSpaceDN w:val="0"/>
      <w:adjustRightInd w:val="0"/>
      <w:spacing w:after="0" w:line="240" w:lineRule="auto"/>
    </w:pPr>
    <w:rPr>
      <w:rFonts w:ascii="Arial" w:cs="Arial" w:hAnsi="Arial"/>
      <w:color w:val="000000"/>
      <w:sz w:val="24"/>
      <w:szCs w:val="24"/>
    </w:rPr>
  </w:style>
  <w:style w:type="paragraph" w:styleId="ListParagraph">
    <w:name w:val="List Paragraph"/>
    <w:basedOn w:val="Normal"/>
    <w:link w:val="ListParagraphChar"/>
    <w:uiPriority w:val="1"/>
    <w:qFormat w:val="1"/>
    <w:rsid w:val="00644456"/>
    <w:pPr>
      <w:ind w:left="720"/>
      <w:contextualSpacing w:val="1"/>
    </w:pPr>
  </w:style>
  <w:style w:type="numbering" w:styleId="Style1" w:customStyle="1">
    <w:name w:val="Style1"/>
    <w:uiPriority w:val="99"/>
    <w:rsid w:val="00644456"/>
  </w:style>
  <w:style w:type="paragraph" w:styleId="BalloonText">
    <w:name w:val="Balloon Text"/>
    <w:basedOn w:val="Normal"/>
    <w:link w:val="BalloonTextChar"/>
    <w:uiPriority w:val="99"/>
    <w:semiHidden w:val="1"/>
    <w:unhideWhenUsed w:val="1"/>
    <w:rsid w:val="0064445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44456"/>
    <w:rPr>
      <w:rFonts w:ascii="Segoe UI" w:cs="Segoe UI" w:eastAsia="Calibri" w:hAnsi="Segoe UI"/>
      <w:color w:val="000000"/>
      <w:sz w:val="18"/>
      <w:szCs w:val="18"/>
      <w:lang w:eastAsia="en-GB"/>
    </w:rPr>
  </w:style>
  <w:style w:type="paragraph" w:styleId="CommentSubject">
    <w:name w:val="annotation subject"/>
    <w:basedOn w:val="CommentText"/>
    <w:next w:val="CommentText"/>
    <w:link w:val="CommentSubjectChar"/>
    <w:uiPriority w:val="99"/>
    <w:semiHidden w:val="1"/>
    <w:unhideWhenUsed w:val="1"/>
    <w:rsid w:val="00F86928"/>
    <w:rPr>
      <w:b w:val="1"/>
      <w:bCs w:val="1"/>
    </w:rPr>
  </w:style>
  <w:style w:type="character" w:styleId="CommentSubjectChar" w:customStyle="1">
    <w:name w:val="Comment Subject Char"/>
    <w:basedOn w:val="CommentTextChar"/>
    <w:link w:val="CommentSubject"/>
    <w:uiPriority w:val="99"/>
    <w:semiHidden w:val="1"/>
    <w:rsid w:val="00F86928"/>
    <w:rPr>
      <w:rFonts w:ascii="Calibri" w:cs="Calibri" w:eastAsia="Calibri" w:hAnsi="Calibri"/>
      <w:b w:val="1"/>
      <w:bCs w:val="1"/>
      <w:color w:val="000000"/>
      <w:sz w:val="20"/>
      <w:szCs w:val="20"/>
      <w:lang w:eastAsia="en-GB"/>
    </w:rPr>
  </w:style>
  <w:style w:type="character" w:styleId="UnresolvedMention1" w:customStyle="1">
    <w:name w:val="Unresolved Mention1"/>
    <w:basedOn w:val="DefaultParagraphFont"/>
    <w:uiPriority w:val="99"/>
    <w:semiHidden w:val="1"/>
    <w:unhideWhenUsed w:val="1"/>
    <w:rsid w:val="00946A07"/>
    <w:rPr>
      <w:color w:val="605e5c"/>
      <w:shd w:color="auto" w:fill="e1dfdd" w:val="clear"/>
    </w:rPr>
  </w:style>
  <w:style w:type="paragraph" w:styleId="Revision">
    <w:name w:val="Revision"/>
    <w:hidden w:val="1"/>
    <w:uiPriority w:val="99"/>
    <w:semiHidden w:val="1"/>
    <w:rsid w:val="00E73D19"/>
    <w:pPr>
      <w:spacing w:after="0" w:line="240" w:lineRule="auto"/>
    </w:pPr>
    <w:rPr>
      <w:color w:val="000000"/>
    </w:rPr>
  </w:style>
  <w:style w:type="character" w:styleId="FollowedHyperlink">
    <w:name w:val="FollowedHyperlink"/>
    <w:basedOn w:val="DefaultParagraphFont"/>
    <w:uiPriority w:val="99"/>
    <w:semiHidden w:val="1"/>
    <w:unhideWhenUsed w:val="1"/>
    <w:rsid w:val="00D26C88"/>
    <w:rPr>
      <w:color w:val="954f72" w:themeColor="followedHyperlink"/>
      <w:u w:val="single"/>
    </w:rPr>
  </w:style>
  <w:style w:type="paragraph" w:styleId="NormalWeb">
    <w:name w:val="Normal (Web)"/>
    <w:basedOn w:val="Normal"/>
    <w:uiPriority w:val="99"/>
    <w:semiHidden w:val="1"/>
    <w:unhideWhenUsed w:val="1"/>
    <w:rsid w:val="0062322F"/>
    <w:pPr>
      <w:pBdr>
        <w:top w:color="auto" w:space="0" w:sz="0" w:val="none"/>
        <w:left w:color="auto" w:space="0" w:sz="0" w:val="none"/>
        <w:bottom w:color="auto" w:space="0" w:sz="0" w:val="none"/>
        <w:right w:color="auto" w:space="0" w:sz="0" w:val="none"/>
        <w:between w:color="auto" w:space="0" w:sz="0" w:val="none"/>
      </w:pBdr>
      <w:spacing w:after="100" w:afterAutospacing="1" w:before="100" w:beforeAutospacing="1" w:line="240" w:lineRule="auto"/>
    </w:pPr>
    <w:rPr>
      <w:rFonts w:ascii="Times New Roman" w:cs="Times New Roman" w:eastAsia="Times New Roman" w:hAnsi="Times New Roman"/>
      <w:color w:val="auto"/>
      <w:sz w:val="24"/>
      <w:szCs w:val="24"/>
    </w:rPr>
  </w:style>
  <w:style w:type="character" w:styleId="Heading1Char" w:customStyle="1">
    <w:name w:val="Heading 1 Char"/>
    <w:basedOn w:val="DefaultParagraphFont"/>
    <w:link w:val="Heading1"/>
    <w:uiPriority w:val="9"/>
    <w:rsid w:val="00210A1E"/>
    <w:rPr>
      <w:rFonts w:asciiTheme="majorHAnsi" w:cstheme="majorBidi" w:eastAsiaTheme="majorEastAsia" w:hAnsiTheme="majorHAnsi"/>
      <w:color w:val="2f5496" w:themeColor="accent1" w:themeShade="0000BF"/>
      <w:sz w:val="32"/>
      <w:szCs w:val="32"/>
    </w:rPr>
  </w:style>
  <w:style w:type="character" w:styleId="ListParagraphChar" w:customStyle="1">
    <w:name w:val="List Paragraph Char"/>
    <w:link w:val="ListParagraph"/>
    <w:uiPriority w:val="34"/>
    <w:locked w:val="1"/>
    <w:rsid w:val="00EA1CFA"/>
    <w:rPr>
      <w:rFonts w:ascii="Calibri" w:cs="Calibri" w:eastAsia="Calibri" w:hAnsi="Calibri"/>
      <w:color w:val="000000"/>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0"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numbering" w:styleId="CurrentList1" w:customStyle="1">
    <w:name w:val="Current List1"/>
    <w:uiPriority w:val="99"/>
    <w:rsid w:val="00396151"/>
    <w:pPr>
      <w:numPr>
        <w:numId w:val="9"/>
      </w:numPr>
    </w:pPr>
  </w:style>
  <w:style w:type="numbering" w:styleId="CurrentList2" w:customStyle="1">
    <w:name w:val="Current List2"/>
    <w:uiPriority w:val="99"/>
    <w:rsid w:val="00396151"/>
    <w:pPr>
      <w:numPr>
        <w:numId w:val="10"/>
      </w:numPr>
    </w:pPr>
  </w:style>
  <w:style w:type="numbering" w:styleId="CurrentList3" w:customStyle="1">
    <w:name w:val="Current List3"/>
    <w:uiPriority w:val="99"/>
    <w:rsid w:val="00396151"/>
    <w:pPr>
      <w:numPr>
        <w:numId w:val="15"/>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1163536/Supplier_Code_of_Conduct_v3.pdf"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upplierregistration.cabinetoffice.gov.uk/msat" TargetMode="External"/><Relationship Id="rId8" Type="http://schemas.openxmlformats.org/officeDocument/2006/relationships/hyperlink" Target="https://www.gov.uk/government/collections/sustainable-procurement-the-government-buying-standards-gb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NqkNe2eBmlCsFLFsOZsrpJJ4g==">CgMxLjAyCWlkLmdqZGd4czIJaC4zMGowemxsMgppZC4zMGowemxsMgloLjFmb2I5dGUyCWguM3pueXNoNzIJaC4yZXQ5MnAwMgloLjRkMzRvZzgyCWguMnM4ZXlvMTIJaC4xN2RwOHZ1MgloLjJpanY4cWgyCGgudHlqY3d0MgloLjNkeTZ2a20yCmlkLjNyZGNyam4yCWguMjZpbjFyZzIIaC5sbnhiejkyCWguMzVua3VuMjIJaC4xa3N2NHV2MgppZC40ZDM0b2c4OAByITF6a0tOTFZhVDFHbFRXRXNFVTd6ZFNsdlVHZC12MzEy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